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CF5B5" w14:textId="77777777" w:rsidR="00344F0F" w:rsidRDefault="00344F0F" w:rsidP="00A106B0">
      <w:pPr>
        <w:spacing w:before="100" w:beforeAutospacing="1" w:after="100" w:afterAutospacing="1" w:line="276" w:lineRule="auto"/>
        <w:contextualSpacing/>
        <w:rPr>
          <w:rFonts w:cstheme="minorHAnsi"/>
          <w:b/>
          <w:bCs/>
          <w:sz w:val="20"/>
          <w:szCs w:val="20"/>
        </w:rPr>
      </w:pPr>
    </w:p>
    <w:p w14:paraId="2AE58CD6" w14:textId="36667255" w:rsidR="00D12A1C" w:rsidRPr="00B83589" w:rsidRDefault="00B83589" w:rsidP="00A106B0">
      <w:pPr>
        <w:spacing w:before="100" w:beforeAutospacing="1" w:after="100" w:afterAutospacing="1" w:line="276" w:lineRule="auto"/>
        <w:contextualSpacing/>
        <w:rPr>
          <w:rFonts w:cstheme="minorHAnsi"/>
          <w:b/>
          <w:bCs/>
          <w:sz w:val="20"/>
          <w:szCs w:val="20"/>
        </w:rPr>
      </w:pPr>
      <w:r w:rsidRPr="00B83589">
        <w:rPr>
          <w:rFonts w:cstheme="minorHAnsi"/>
          <w:b/>
          <w:bCs/>
          <w:sz w:val="20"/>
          <w:szCs w:val="20"/>
        </w:rPr>
        <w:t>Informacja prasowa</w:t>
      </w:r>
    </w:p>
    <w:p w14:paraId="72599981" w14:textId="0D382FF1" w:rsidR="00B83589" w:rsidRDefault="00344F0F" w:rsidP="00A106B0">
      <w:pPr>
        <w:spacing w:before="100" w:beforeAutospacing="1" w:after="100" w:afterAutospacing="1" w:line="276" w:lineRule="auto"/>
        <w:contextualSpacing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Warszawa , </w:t>
      </w:r>
      <w:r w:rsidR="00F12818">
        <w:rPr>
          <w:rFonts w:cstheme="minorHAnsi"/>
          <w:b/>
          <w:bCs/>
          <w:sz w:val="20"/>
          <w:szCs w:val="20"/>
        </w:rPr>
        <w:t>2</w:t>
      </w:r>
      <w:r w:rsidR="0074760B">
        <w:rPr>
          <w:rFonts w:cstheme="minorHAnsi"/>
          <w:b/>
          <w:bCs/>
          <w:sz w:val="20"/>
          <w:szCs w:val="20"/>
        </w:rPr>
        <w:t>6</w:t>
      </w:r>
      <w:r>
        <w:rPr>
          <w:rFonts w:cstheme="minorHAnsi"/>
          <w:b/>
          <w:bCs/>
          <w:sz w:val="20"/>
          <w:szCs w:val="20"/>
        </w:rPr>
        <w:t>.0</w:t>
      </w:r>
      <w:r w:rsidR="00B97566">
        <w:rPr>
          <w:rFonts w:cstheme="minorHAnsi"/>
          <w:b/>
          <w:bCs/>
          <w:sz w:val="20"/>
          <w:szCs w:val="20"/>
        </w:rPr>
        <w:t>4</w:t>
      </w:r>
      <w:r>
        <w:rPr>
          <w:rFonts w:cstheme="minorHAnsi"/>
          <w:b/>
          <w:bCs/>
          <w:sz w:val="20"/>
          <w:szCs w:val="20"/>
        </w:rPr>
        <w:t>.2024</w:t>
      </w:r>
      <w:r w:rsidR="00B83589" w:rsidRPr="00B83589">
        <w:rPr>
          <w:rFonts w:cstheme="minorHAnsi"/>
          <w:b/>
          <w:bCs/>
          <w:sz w:val="20"/>
          <w:szCs w:val="20"/>
        </w:rPr>
        <w:t xml:space="preserve"> r.</w:t>
      </w:r>
    </w:p>
    <w:p w14:paraId="451041AD" w14:textId="77777777" w:rsidR="00344F0F" w:rsidRPr="00B83589" w:rsidRDefault="00344F0F" w:rsidP="00A106B0">
      <w:pPr>
        <w:spacing w:before="100" w:beforeAutospacing="1" w:after="100" w:afterAutospacing="1" w:line="276" w:lineRule="auto"/>
        <w:contextualSpacing/>
        <w:jc w:val="right"/>
        <w:rPr>
          <w:rFonts w:cstheme="minorHAnsi"/>
          <w:b/>
          <w:bCs/>
          <w:sz w:val="20"/>
          <w:szCs w:val="20"/>
        </w:rPr>
      </w:pPr>
    </w:p>
    <w:p w14:paraId="5BCF0AAA" w14:textId="5F2D271F" w:rsidR="00344F0F" w:rsidRPr="004B2A0E" w:rsidRDefault="00344F0F" w:rsidP="00A106B0">
      <w:pPr>
        <w:spacing w:before="100" w:beforeAutospacing="1" w:after="100" w:afterAutospacing="1" w:line="276" w:lineRule="auto"/>
        <w:contextualSpacing/>
        <w:jc w:val="center"/>
        <w:rPr>
          <w:rFonts w:ascii="Calibri" w:hAnsi="Calibri" w:cs="Calibri"/>
          <w:b/>
          <w:sz w:val="26"/>
          <w:szCs w:val="26"/>
          <w:highlight w:val="white"/>
        </w:rPr>
      </w:pPr>
      <w:r w:rsidRPr="004B2A0E">
        <w:rPr>
          <w:rFonts w:ascii="Calibri" w:hAnsi="Calibri" w:cs="Calibri"/>
          <w:b/>
          <w:sz w:val="26"/>
          <w:szCs w:val="26"/>
          <w:highlight w:val="white"/>
        </w:rPr>
        <w:t xml:space="preserve">COMP wprowadza rozwiązania technologiczne ułatwiające </w:t>
      </w:r>
      <w:r w:rsidR="00C80ACD" w:rsidRPr="004B2A0E">
        <w:rPr>
          <w:rFonts w:ascii="Calibri" w:hAnsi="Calibri" w:cs="Calibri"/>
          <w:b/>
          <w:sz w:val="26"/>
          <w:szCs w:val="26"/>
          <w:highlight w:val="white"/>
        </w:rPr>
        <w:t>wdrożenie systemu kaucyjnego w Polsce</w:t>
      </w:r>
    </w:p>
    <w:p w14:paraId="1375429C" w14:textId="77777777" w:rsidR="00A106B0" w:rsidRDefault="00A106B0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sz w:val="24"/>
          <w:szCs w:val="24"/>
          <w:highlight w:val="white"/>
        </w:rPr>
      </w:pPr>
    </w:p>
    <w:p w14:paraId="103E4A24" w14:textId="28A9C19C" w:rsidR="00344F0F" w:rsidRPr="004B2A0E" w:rsidRDefault="00344F0F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b/>
          <w:highlight w:val="white"/>
        </w:rPr>
      </w:pPr>
      <w:r w:rsidRPr="004B2A0E">
        <w:rPr>
          <w:rFonts w:ascii="Calibri" w:hAnsi="Calibri" w:cs="Calibri"/>
          <w:b/>
          <w:highlight w:val="white"/>
        </w:rPr>
        <w:t>W Polsce systematycznie przybywa odpadów opakowaniowych. Aby ograniczyć ich ilość</w:t>
      </w:r>
      <w:r w:rsidR="00F10955" w:rsidRPr="004B2A0E">
        <w:rPr>
          <w:rFonts w:ascii="Calibri" w:hAnsi="Calibri" w:cs="Calibri"/>
          <w:b/>
          <w:highlight w:val="white"/>
        </w:rPr>
        <w:t xml:space="preserve"> i pobudzić gospodarkę o obiegu zamkniętym</w:t>
      </w:r>
      <w:r w:rsidRPr="004B2A0E">
        <w:rPr>
          <w:rFonts w:ascii="Calibri" w:hAnsi="Calibri" w:cs="Calibri"/>
          <w:b/>
          <w:highlight w:val="white"/>
        </w:rPr>
        <w:t>, konieczne jest wprowadzenie systemu kaucyjnego. Z powodzeniem funkcjonuje on już w innych krajach Unii Europejskiej</w:t>
      </w:r>
      <w:r w:rsidR="00F10955" w:rsidRPr="004B2A0E">
        <w:rPr>
          <w:rFonts w:ascii="Calibri" w:hAnsi="Calibri" w:cs="Calibri"/>
          <w:b/>
          <w:highlight w:val="white"/>
        </w:rPr>
        <w:t>, a w</w:t>
      </w:r>
      <w:r w:rsidRPr="004B2A0E">
        <w:rPr>
          <w:rFonts w:ascii="Calibri" w:hAnsi="Calibri" w:cs="Calibri"/>
          <w:b/>
          <w:highlight w:val="white"/>
        </w:rPr>
        <w:t xml:space="preserve"> Polsce zacznie </w:t>
      </w:r>
      <w:r w:rsidR="00F10955" w:rsidRPr="004B2A0E">
        <w:rPr>
          <w:rFonts w:ascii="Calibri" w:hAnsi="Calibri" w:cs="Calibri"/>
          <w:b/>
          <w:highlight w:val="white"/>
        </w:rPr>
        <w:t xml:space="preserve">obowiązywać </w:t>
      </w:r>
      <w:r w:rsidR="00974988" w:rsidRPr="004B2A0E">
        <w:rPr>
          <w:rFonts w:ascii="Calibri" w:hAnsi="Calibri" w:cs="Calibri"/>
          <w:b/>
          <w:highlight w:val="white"/>
        </w:rPr>
        <w:t xml:space="preserve">od </w:t>
      </w:r>
      <w:r w:rsidRPr="004B2A0E">
        <w:rPr>
          <w:rFonts w:ascii="Calibri" w:hAnsi="Calibri" w:cs="Calibri"/>
          <w:b/>
          <w:highlight w:val="white"/>
        </w:rPr>
        <w:t xml:space="preserve">1 stycznia 2025 roku. Grupa Kapitałowa COMP wprowadza rozwiązania technologiczne, które ułatwią </w:t>
      </w:r>
      <w:r w:rsidR="00C80ACD" w:rsidRPr="004B2A0E">
        <w:rPr>
          <w:rFonts w:ascii="Calibri" w:hAnsi="Calibri" w:cs="Calibri"/>
          <w:b/>
          <w:highlight w:val="white"/>
        </w:rPr>
        <w:t xml:space="preserve">odbiór opakowań i </w:t>
      </w:r>
      <w:r w:rsidRPr="004B2A0E">
        <w:rPr>
          <w:rFonts w:ascii="Calibri" w:hAnsi="Calibri" w:cs="Calibri"/>
          <w:b/>
          <w:highlight w:val="white"/>
        </w:rPr>
        <w:t xml:space="preserve">wdrożenie systemu kaucyjnego w naszym kraju. </w:t>
      </w:r>
    </w:p>
    <w:p w14:paraId="6991923B" w14:textId="77777777" w:rsidR="00A106B0" w:rsidRPr="004B2A0E" w:rsidRDefault="00A106B0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highlight w:val="white"/>
        </w:rPr>
      </w:pPr>
    </w:p>
    <w:p w14:paraId="175E2244" w14:textId="14891259" w:rsidR="00344F0F" w:rsidRPr="004B2A0E" w:rsidRDefault="00344F0F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highlight w:val="white"/>
        </w:rPr>
      </w:pPr>
      <w:r w:rsidRPr="004B2A0E">
        <w:rPr>
          <w:rFonts w:ascii="Calibri" w:hAnsi="Calibri" w:cs="Calibri"/>
          <w:highlight w:val="white"/>
        </w:rPr>
        <w:t xml:space="preserve">Dane Eurostat wskazują, że w 2021 roku wytworzonych zostało średnio w skali Europy ponad 188 kg odpadów opakowaniowych. Co trzecie opakowanie to stały odpad komunalny. Każde z nich stanowi </w:t>
      </w:r>
      <w:r w:rsidR="00974988" w:rsidRPr="004B2A0E">
        <w:rPr>
          <w:rFonts w:ascii="Calibri" w:hAnsi="Calibri" w:cs="Calibri"/>
          <w:highlight w:val="white"/>
        </w:rPr>
        <w:t>poważne wyzwanie</w:t>
      </w:r>
      <w:r w:rsidRPr="004B2A0E">
        <w:rPr>
          <w:rFonts w:ascii="Calibri" w:hAnsi="Calibri" w:cs="Calibri"/>
          <w:highlight w:val="white"/>
        </w:rPr>
        <w:t xml:space="preserve"> dla środowiska naturalnego. Odpady opakowaniowe zalegają na wysypiskach śmieci, zanieczyszczają wodę i glebę oraz stwarzają zagrożenie dla zwierząt. O tym, jak dużym są problemem dla naszego najbliższego otoczenia, świadczy fakt, że w 2021 roku państwa UE wygenerowały ich łącznie aż 84 mln ton. Przewiduje się, że bez podjęcia żadnych działań ta ilość odpadów wzrośnie do 2030 roku nawet o 19%.</w:t>
      </w:r>
    </w:p>
    <w:p w14:paraId="79EBBDB2" w14:textId="77777777" w:rsidR="00A106B0" w:rsidRPr="004B2A0E" w:rsidRDefault="00A106B0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highlight w:val="white"/>
        </w:rPr>
      </w:pPr>
    </w:p>
    <w:p w14:paraId="0DE060A7" w14:textId="10A3E097" w:rsidR="00344F0F" w:rsidRPr="004B2A0E" w:rsidRDefault="00344F0F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highlight w:val="white"/>
        </w:rPr>
      </w:pPr>
      <w:r w:rsidRPr="004B2A0E">
        <w:rPr>
          <w:rFonts w:ascii="Calibri" w:hAnsi="Calibri" w:cs="Calibri"/>
          <w:highlight w:val="white"/>
        </w:rPr>
        <w:t xml:space="preserve">Sytuacja w Polsce zmieni się od 1 stycznia 2025 roku, kiedy to zacznie obowiązywać system kaucyjny. Objęte nim zostaną butelki szklane o pojemności do 1,5 litra, butelki jednorazowego użytku z tworzyw sztucznych do 3 litrów (z zakrętkami i wieczkami) oraz metalowe puszki o pojemności do 1 litra. Przy zakupie tego typu produktów konsument będzie dopłacać kaucję w kwocie </w:t>
      </w:r>
      <w:r w:rsidR="00DB56A0" w:rsidRPr="004B2A0E">
        <w:rPr>
          <w:rFonts w:ascii="Calibri" w:hAnsi="Calibri" w:cs="Calibri"/>
          <w:highlight w:val="white"/>
        </w:rPr>
        <w:t xml:space="preserve">od </w:t>
      </w:r>
      <w:r w:rsidRPr="004B2A0E">
        <w:rPr>
          <w:rFonts w:ascii="Calibri" w:hAnsi="Calibri" w:cs="Calibri"/>
          <w:highlight w:val="white"/>
        </w:rPr>
        <w:t xml:space="preserve">0,50 </w:t>
      </w:r>
      <w:r w:rsidRPr="004B2A0E">
        <w:rPr>
          <w:rFonts w:ascii="Calibri" w:hAnsi="Calibri" w:cs="Calibri"/>
        </w:rPr>
        <w:t>zł</w:t>
      </w:r>
      <w:r w:rsidR="00595790" w:rsidRPr="004B2A0E">
        <w:rPr>
          <w:rFonts w:ascii="Calibri" w:hAnsi="Calibri" w:cs="Calibri"/>
        </w:rPr>
        <w:t xml:space="preserve"> do 1 zł</w:t>
      </w:r>
      <w:r w:rsidRPr="004B2A0E">
        <w:rPr>
          <w:rFonts w:ascii="Calibri" w:hAnsi="Calibri" w:cs="Calibri"/>
        </w:rPr>
        <w:t xml:space="preserve">. </w:t>
      </w:r>
      <w:r w:rsidRPr="004B2A0E">
        <w:rPr>
          <w:rFonts w:ascii="Calibri" w:hAnsi="Calibri" w:cs="Calibri"/>
          <w:highlight w:val="white"/>
        </w:rPr>
        <w:t>Następnie będzie mógł oddać</w:t>
      </w:r>
      <w:r w:rsidR="00974988" w:rsidRPr="004B2A0E">
        <w:rPr>
          <w:rFonts w:ascii="Calibri" w:hAnsi="Calibri" w:cs="Calibri"/>
          <w:highlight w:val="white"/>
        </w:rPr>
        <w:t xml:space="preserve"> </w:t>
      </w:r>
      <w:r w:rsidRPr="004B2A0E">
        <w:rPr>
          <w:rFonts w:ascii="Calibri" w:hAnsi="Calibri" w:cs="Calibri"/>
          <w:highlight w:val="white"/>
        </w:rPr>
        <w:t>opakowanie w dowolnym miejscu objętym systemem kaucyjnym lub automacie RVM i otrzymać zwrot kaucji.</w:t>
      </w:r>
    </w:p>
    <w:p w14:paraId="20D49906" w14:textId="77777777" w:rsidR="00A106B0" w:rsidRPr="004B2A0E" w:rsidRDefault="00A106B0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highlight w:val="white"/>
        </w:rPr>
      </w:pPr>
    </w:p>
    <w:p w14:paraId="407F0BCF" w14:textId="63D94262" w:rsidR="00344F0F" w:rsidRPr="004B2A0E" w:rsidRDefault="00344F0F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highlight w:val="white"/>
        </w:rPr>
      </w:pPr>
      <w:r w:rsidRPr="004B2A0E">
        <w:rPr>
          <w:rFonts w:ascii="Calibri" w:hAnsi="Calibri" w:cs="Calibri"/>
          <w:highlight w:val="white"/>
        </w:rPr>
        <w:t xml:space="preserve">Zbiórka opakowań ma przyczynić się do ochrony środowiska poprzez realizację założeń gospodarki obiegu zamkniętego. Zwiększy też zyski obiektów handlowych, które będą uczestniczyć w systemie kaucyjnym. Ten obowiązek dotyczy sklepów o powierzchni powyżej 200 m2, mniejsze placówki mogą przystąpić do niego dobrowolnie. </w:t>
      </w:r>
      <w:r w:rsidR="00DB56A0" w:rsidRPr="004B2A0E">
        <w:rPr>
          <w:rFonts w:ascii="Calibri" w:hAnsi="Calibri" w:cs="Calibri"/>
        </w:rPr>
        <w:t>Doświadczenia z innych krajów objętych systemem DRS jednoznacznie wskazują</w:t>
      </w:r>
      <w:r w:rsidRPr="004B2A0E">
        <w:rPr>
          <w:rFonts w:ascii="Calibri" w:hAnsi="Calibri" w:cs="Calibri"/>
          <w:highlight w:val="white"/>
        </w:rPr>
        <w:t xml:space="preserve">, że w przypadku nieprzystąpienia danego sklepu do systemu kaucyjnego, konsumenci mogą udać się do konkurencji, która umożliwia zwrot opakowań i kaucji. Do jej otrzymania nie będzie bowiem wymagany paragon. </w:t>
      </w:r>
    </w:p>
    <w:p w14:paraId="0B7457AB" w14:textId="77777777" w:rsidR="004B2A0E" w:rsidRPr="004B2A0E" w:rsidRDefault="004B2A0E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highlight w:val="white"/>
        </w:rPr>
      </w:pPr>
    </w:p>
    <w:p w14:paraId="1F088D8D" w14:textId="6B61367D" w:rsidR="00344F0F" w:rsidRPr="004B2A0E" w:rsidRDefault="00974988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i/>
          <w:highlight w:val="white"/>
        </w:rPr>
      </w:pPr>
      <w:r w:rsidRPr="004B2A0E">
        <w:rPr>
          <w:rFonts w:ascii="Calibri" w:hAnsi="Calibri" w:cs="Calibri"/>
          <w:highlight w:val="white"/>
        </w:rPr>
        <w:t>Skuteczne wdrożenie</w:t>
      </w:r>
      <w:r w:rsidR="00344F0F" w:rsidRPr="004B2A0E">
        <w:rPr>
          <w:rFonts w:ascii="Calibri" w:hAnsi="Calibri" w:cs="Calibri"/>
          <w:highlight w:val="white"/>
        </w:rPr>
        <w:t xml:space="preserve"> systemu kaucyjnego</w:t>
      </w:r>
      <w:r w:rsidRPr="004B2A0E">
        <w:rPr>
          <w:rFonts w:ascii="Calibri" w:hAnsi="Calibri" w:cs="Calibri"/>
          <w:highlight w:val="white"/>
        </w:rPr>
        <w:t xml:space="preserve"> wspiera </w:t>
      </w:r>
      <w:r w:rsidR="00344F0F" w:rsidRPr="004B2A0E">
        <w:rPr>
          <w:rFonts w:ascii="Calibri" w:hAnsi="Calibri" w:cs="Calibri"/>
          <w:highlight w:val="white"/>
        </w:rPr>
        <w:t xml:space="preserve">Grupa Kapitałowa COMP, która posiada 30-letnie doświadczenie w tworzeniu efektywnych rozwiązań dla rynku handlu i usług. </w:t>
      </w:r>
      <w:r w:rsidR="004B2A0E" w:rsidRPr="004B2A0E">
        <w:rPr>
          <w:rFonts w:ascii="Calibri" w:hAnsi="Calibri" w:cs="Calibri"/>
          <w:highlight w:val="white"/>
        </w:rPr>
        <w:t>–</w:t>
      </w:r>
      <w:r w:rsidR="00344F0F" w:rsidRPr="004B2A0E">
        <w:rPr>
          <w:rFonts w:ascii="Calibri" w:hAnsi="Calibri" w:cs="Calibri"/>
          <w:highlight w:val="white"/>
        </w:rPr>
        <w:t xml:space="preserve"> </w:t>
      </w:r>
      <w:r w:rsidR="00344F0F" w:rsidRPr="004B2A0E">
        <w:rPr>
          <w:rFonts w:ascii="Calibri" w:hAnsi="Calibri" w:cs="Calibri"/>
          <w:i/>
          <w:highlight w:val="white"/>
        </w:rPr>
        <w:t>Jesteśmy specjalistami w projektowaniu rozwiązań fiskalnych dla rynku detalicznego w Polsce.</w:t>
      </w:r>
      <w:r w:rsidR="00344F0F" w:rsidRPr="004B2A0E">
        <w:rPr>
          <w:rFonts w:ascii="Calibri" w:hAnsi="Calibri" w:cs="Calibri"/>
          <w:highlight w:val="white"/>
        </w:rPr>
        <w:t xml:space="preserve"> </w:t>
      </w:r>
      <w:r w:rsidR="00344F0F" w:rsidRPr="004B2A0E">
        <w:rPr>
          <w:rFonts w:ascii="Calibri" w:hAnsi="Calibri" w:cs="Calibri"/>
          <w:i/>
          <w:highlight w:val="white"/>
        </w:rPr>
        <w:t>Naszymi wiodącymi markami są urządzenia Elzab i Novitus oraz aplikacje sprzedażowe InSoft. W ramach rozwoju firmy</w:t>
      </w:r>
      <w:r w:rsidR="004B2A0E" w:rsidRPr="004B2A0E">
        <w:rPr>
          <w:rFonts w:ascii="Calibri" w:hAnsi="Calibri" w:cs="Calibri"/>
          <w:i/>
          <w:highlight w:val="white"/>
        </w:rPr>
        <w:t>,</w:t>
      </w:r>
      <w:r w:rsidR="00344F0F" w:rsidRPr="004B2A0E">
        <w:rPr>
          <w:rFonts w:ascii="Calibri" w:hAnsi="Calibri" w:cs="Calibri"/>
          <w:i/>
          <w:highlight w:val="white"/>
        </w:rPr>
        <w:t xml:space="preserve"> wdrożyliśmy nowe rozwiązania oparte na naszym technologicznym know-how. Umożliwią one zintegrowanie systemu kaucyjnego z urządzeniami fiskalnymi, które detalista posiada obecnie w swoim sklepie. Jestem przekonany o tym, że dzięki temu zbiórka odpadów opakowaniowych będzie przebiegać sprawnie, </w:t>
      </w:r>
      <w:r w:rsidR="00344F0F" w:rsidRPr="004B2A0E">
        <w:rPr>
          <w:rFonts w:ascii="Calibri" w:hAnsi="Calibri" w:cs="Calibri"/>
          <w:i/>
          <w:highlight w:val="white"/>
        </w:rPr>
        <w:lastRenderedPageBreak/>
        <w:t>podobnie jak ma to miejsce w wielu krajach, m.in. w Szwecji, Finlandii, ale też na Łotwie czy Słowacji</w:t>
      </w:r>
      <w:r w:rsidR="004B2A0E" w:rsidRPr="004B2A0E">
        <w:rPr>
          <w:rFonts w:ascii="Calibri" w:hAnsi="Calibri" w:cs="Calibri"/>
          <w:i/>
          <w:highlight w:val="white"/>
        </w:rPr>
        <w:t xml:space="preserve"> </w:t>
      </w:r>
      <w:r w:rsidR="00344F0F" w:rsidRPr="004B2A0E">
        <w:rPr>
          <w:rFonts w:ascii="Calibri" w:hAnsi="Calibri" w:cs="Calibri"/>
          <w:i/>
          <w:highlight w:val="white"/>
        </w:rPr>
        <w:t xml:space="preserve">– </w:t>
      </w:r>
      <w:r w:rsidR="00344F0F" w:rsidRPr="004B2A0E">
        <w:rPr>
          <w:rFonts w:ascii="Calibri" w:hAnsi="Calibri" w:cs="Calibri"/>
          <w:highlight w:val="white"/>
        </w:rPr>
        <w:t xml:space="preserve">komentuje </w:t>
      </w:r>
      <w:r w:rsidR="00344F0F" w:rsidRPr="004B2A0E">
        <w:rPr>
          <w:rFonts w:ascii="Calibri" w:hAnsi="Calibri" w:cs="Calibri"/>
          <w:b/>
          <w:bCs/>
          <w:highlight w:val="white"/>
        </w:rPr>
        <w:t xml:space="preserve">Michał Pląska, </w:t>
      </w:r>
      <w:r w:rsidR="004B2A0E" w:rsidRPr="004B2A0E">
        <w:rPr>
          <w:rFonts w:ascii="Calibri" w:hAnsi="Calibri" w:cs="Calibri"/>
          <w:b/>
          <w:bCs/>
          <w:highlight w:val="white"/>
        </w:rPr>
        <w:t>d</w:t>
      </w:r>
      <w:r w:rsidR="00344F0F" w:rsidRPr="004B2A0E">
        <w:rPr>
          <w:rFonts w:ascii="Calibri" w:hAnsi="Calibri" w:cs="Calibri"/>
          <w:b/>
          <w:bCs/>
          <w:highlight w:val="white"/>
        </w:rPr>
        <w:t xml:space="preserve">yrektor </w:t>
      </w:r>
      <w:r w:rsidR="004B2A0E" w:rsidRPr="004B2A0E">
        <w:rPr>
          <w:rFonts w:ascii="Calibri" w:hAnsi="Calibri" w:cs="Calibri"/>
          <w:b/>
          <w:bCs/>
          <w:highlight w:val="white"/>
        </w:rPr>
        <w:t>z</w:t>
      </w:r>
      <w:r w:rsidR="00344F0F" w:rsidRPr="004B2A0E">
        <w:rPr>
          <w:rFonts w:ascii="Calibri" w:hAnsi="Calibri" w:cs="Calibri"/>
          <w:b/>
          <w:bCs/>
          <w:highlight w:val="white"/>
        </w:rPr>
        <w:t xml:space="preserve">arządzający </w:t>
      </w:r>
      <w:r w:rsidR="004B2A0E" w:rsidRPr="004B2A0E">
        <w:rPr>
          <w:rFonts w:ascii="Calibri" w:hAnsi="Calibri" w:cs="Calibri"/>
          <w:b/>
          <w:bCs/>
          <w:highlight w:val="white"/>
        </w:rPr>
        <w:t xml:space="preserve">w </w:t>
      </w:r>
      <w:r w:rsidR="00344F0F" w:rsidRPr="004B2A0E">
        <w:rPr>
          <w:rFonts w:ascii="Calibri" w:hAnsi="Calibri" w:cs="Calibri"/>
          <w:b/>
          <w:bCs/>
          <w:highlight w:val="white"/>
        </w:rPr>
        <w:t>COMP Centrum Innowacji.</w:t>
      </w:r>
      <w:r w:rsidR="00344F0F" w:rsidRPr="004B2A0E">
        <w:rPr>
          <w:rFonts w:ascii="Calibri" w:hAnsi="Calibri" w:cs="Calibri"/>
          <w:highlight w:val="white"/>
        </w:rPr>
        <w:t xml:space="preserve"> </w:t>
      </w:r>
      <w:r w:rsidR="00344F0F" w:rsidRPr="004B2A0E">
        <w:rPr>
          <w:rFonts w:ascii="Calibri" w:hAnsi="Calibri" w:cs="Calibri"/>
          <w:i/>
          <w:highlight w:val="white"/>
        </w:rPr>
        <w:t xml:space="preserve"> </w:t>
      </w:r>
    </w:p>
    <w:p w14:paraId="57404E1B" w14:textId="77777777" w:rsidR="00A106B0" w:rsidRPr="004B2A0E" w:rsidRDefault="00A106B0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highlight w:val="white"/>
        </w:rPr>
      </w:pPr>
    </w:p>
    <w:p w14:paraId="7733E85A" w14:textId="7C477E0B" w:rsidR="00344F0F" w:rsidRPr="004B2A0E" w:rsidRDefault="00344F0F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highlight w:val="white"/>
        </w:rPr>
      </w:pPr>
      <w:r w:rsidRPr="004B2A0E">
        <w:rPr>
          <w:rFonts w:ascii="Calibri" w:hAnsi="Calibri" w:cs="Calibri"/>
          <w:highlight w:val="white"/>
        </w:rPr>
        <w:t>Wraz z wprowadzeniem systemu kaucyjnego w 2025 roku</w:t>
      </w:r>
      <w:r w:rsidR="004B2A0E" w:rsidRPr="004B2A0E">
        <w:rPr>
          <w:rFonts w:ascii="Calibri" w:hAnsi="Calibri" w:cs="Calibri"/>
          <w:highlight w:val="white"/>
        </w:rPr>
        <w:t>,</w:t>
      </w:r>
      <w:r w:rsidRPr="004B2A0E">
        <w:rPr>
          <w:rFonts w:ascii="Calibri" w:hAnsi="Calibri" w:cs="Calibri"/>
          <w:highlight w:val="white"/>
        </w:rPr>
        <w:t xml:space="preserve"> COMP wesprze proces przekazywania opakowań do operatora, obsługę rozliczeń oraz umożliwi automatyzację związaną z pobieraniem i wypłatami kaucji. Będzie się to odbywać bez konieczności instalacji dodatkowego sprzętu oraz automatów, co z pewnością ułatwi pracę właścicielom małych, osiedlowych sklepów, którzy często nie mogą sobie pozwolić na ponoszenie dużych kosztów. Z automatów do zbiórki odpadów opakowaniowych RVM z pewnością jednak skorzystają sieci handlowe. Nowe rozwiązania umożliwią także szybkie podpisanie umowy z operatorem systemu kaucyjnego oraz przekazywanie do niego danych pozwalających na szybkie rozliczenia środków kaucyjnych. Za sprawą intuicyjnego narzędzia online</w:t>
      </w:r>
      <w:r w:rsidR="004B2A0E" w:rsidRPr="004B2A0E">
        <w:rPr>
          <w:rFonts w:ascii="Calibri" w:hAnsi="Calibri" w:cs="Calibri"/>
          <w:highlight w:val="white"/>
        </w:rPr>
        <w:t>,</w:t>
      </w:r>
      <w:r w:rsidRPr="004B2A0E">
        <w:rPr>
          <w:rFonts w:ascii="Calibri" w:hAnsi="Calibri" w:cs="Calibri"/>
          <w:highlight w:val="white"/>
        </w:rPr>
        <w:t xml:space="preserve"> umożliwi pełną kontrolę obiegu opakowań oraz kaucji. Zapobiegnie też nadmiernemu przeznaczaniu własnych środków przez detalistów na wypłatę kaucji za zwracane opakowania. </w:t>
      </w:r>
    </w:p>
    <w:p w14:paraId="22485F3A" w14:textId="77777777" w:rsidR="00A106B0" w:rsidRPr="004B2A0E" w:rsidRDefault="00A106B0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highlight w:val="white"/>
        </w:rPr>
      </w:pPr>
    </w:p>
    <w:p w14:paraId="63034B87" w14:textId="2F18F44F" w:rsidR="00344F0F" w:rsidRPr="004B2A0E" w:rsidRDefault="00344F0F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</w:rPr>
      </w:pPr>
      <w:r w:rsidRPr="004B2A0E">
        <w:rPr>
          <w:rFonts w:ascii="Calibri" w:hAnsi="Calibri" w:cs="Calibri"/>
          <w:highlight w:val="white"/>
        </w:rPr>
        <w:t>Grupa Kapitałowa COMP wspiera rynek tradycyjny od 30 lat, dostosowując się do zmieniających się warunków</w:t>
      </w:r>
      <w:r w:rsidR="00974988" w:rsidRPr="004B2A0E">
        <w:rPr>
          <w:rFonts w:ascii="Calibri" w:hAnsi="Calibri" w:cs="Calibri"/>
          <w:highlight w:val="white"/>
        </w:rPr>
        <w:t xml:space="preserve"> i gospodarczych trendów</w:t>
      </w:r>
      <w:r w:rsidRPr="004B2A0E">
        <w:rPr>
          <w:rFonts w:ascii="Calibri" w:hAnsi="Calibri" w:cs="Calibri"/>
          <w:highlight w:val="white"/>
        </w:rPr>
        <w:t>.</w:t>
      </w:r>
      <w:r w:rsidR="004B2A0E" w:rsidRPr="004B2A0E">
        <w:rPr>
          <w:rFonts w:ascii="Calibri" w:hAnsi="Calibri" w:cs="Calibri"/>
          <w:highlight w:val="white"/>
        </w:rPr>
        <w:t xml:space="preserve"> </w:t>
      </w:r>
      <w:r w:rsidR="008604C3" w:rsidRPr="004B2A0E">
        <w:rPr>
          <w:rFonts w:ascii="Calibri" w:hAnsi="Calibri" w:cs="Calibri"/>
          <w:highlight w:val="white"/>
        </w:rPr>
        <w:t xml:space="preserve">Obecnie ma 65% udziałów w rynku handlu detalicznego w Polsce, a za jej sprawą w bezpieczny sposób rozliczanych jest nawet 70 mln transakcji rocznie. </w:t>
      </w:r>
      <w:r w:rsidRPr="004B2A0E">
        <w:rPr>
          <w:rFonts w:ascii="Calibri" w:hAnsi="Calibri" w:cs="Calibri"/>
          <w:highlight w:val="white"/>
        </w:rPr>
        <w:t>Dzięki szytym na miarę rozwiązaniom technologicznym sprawia, że rynek handlu detalicznego</w:t>
      </w:r>
      <w:r w:rsidR="004B2A0E" w:rsidRPr="004B2A0E">
        <w:rPr>
          <w:rFonts w:ascii="Calibri" w:hAnsi="Calibri" w:cs="Calibri"/>
          <w:highlight w:val="white"/>
        </w:rPr>
        <w:t>,</w:t>
      </w:r>
      <w:r w:rsidRPr="004B2A0E">
        <w:rPr>
          <w:rFonts w:ascii="Calibri" w:hAnsi="Calibri" w:cs="Calibri"/>
          <w:highlight w:val="white"/>
        </w:rPr>
        <w:t xml:space="preserve"> wraz z wdrożonym systemem kaucyjnym</w:t>
      </w:r>
      <w:r w:rsidR="004B2A0E" w:rsidRPr="004B2A0E">
        <w:rPr>
          <w:rFonts w:ascii="Calibri" w:hAnsi="Calibri" w:cs="Calibri"/>
          <w:highlight w:val="white"/>
        </w:rPr>
        <w:t>,</w:t>
      </w:r>
      <w:r w:rsidRPr="004B2A0E">
        <w:rPr>
          <w:rFonts w:ascii="Calibri" w:hAnsi="Calibri" w:cs="Calibri"/>
          <w:highlight w:val="white"/>
        </w:rPr>
        <w:t xml:space="preserve"> będzie funkcjonował sprawnie, osiągając przy tym założone cele związane z poszanowaniem środowiska.</w:t>
      </w:r>
    </w:p>
    <w:p w14:paraId="586CDAC3" w14:textId="77777777" w:rsidR="00A106B0" w:rsidRPr="00344F0F" w:rsidRDefault="00A106B0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3F4A4D29" w14:textId="54F3A27E" w:rsidR="00B83589" w:rsidRPr="00A106B0" w:rsidRDefault="00B83589" w:rsidP="00A106B0">
      <w:pPr>
        <w:spacing w:before="100" w:beforeAutospacing="1" w:after="100" w:afterAutospacing="1" w:line="276" w:lineRule="auto"/>
        <w:contextualSpacing/>
        <w:jc w:val="center"/>
        <w:rPr>
          <w:rFonts w:cstheme="minorHAnsi"/>
          <w:b/>
          <w:bCs/>
          <w:sz w:val="24"/>
          <w:szCs w:val="24"/>
          <w:highlight w:val="white"/>
        </w:rPr>
      </w:pPr>
      <w:r w:rsidRPr="00A106B0">
        <w:rPr>
          <w:rFonts w:cstheme="minorHAnsi"/>
          <w:b/>
          <w:bCs/>
          <w:sz w:val="24"/>
          <w:szCs w:val="24"/>
          <w:highlight w:val="white"/>
        </w:rPr>
        <w:t>***</w:t>
      </w:r>
    </w:p>
    <w:p w14:paraId="256E4402" w14:textId="50A9C5B6" w:rsidR="00BD397A" w:rsidRPr="00BD397A" w:rsidRDefault="00BD397A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BD397A">
        <w:rPr>
          <w:rFonts w:ascii="Calibri" w:hAnsi="Calibri" w:cs="Calibri"/>
          <w:b/>
          <w:sz w:val="20"/>
          <w:szCs w:val="20"/>
        </w:rPr>
        <w:t>COMP S.A.</w:t>
      </w:r>
      <w:r w:rsidRPr="00BD397A">
        <w:rPr>
          <w:rFonts w:ascii="Calibri" w:hAnsi="Calibri" w:cs="Calibri"/>
          <w:sz w:val="20"/>
          <w:szCs w:val="20"/>
        </w:rPr>
        <w:t xml:space="preserve"> to grupa kapitałowa specjalizująca się w technologii i rynku handlu i analiz. W skład grupy wchodzą spółki technologiczne oferujące </w:t>
      </w:r>
      <w:r w:rsidRPr="00BD397A">
        <w:rPr>
          <w:rFonts w:ascii="Calibri" w:hAnsi="Calibri" w:cs="Calibri"/>
          <w:b/>
          <w:sz w:val="20"/>
          <w:szCs w:val="20"/>
        </w:rPr>
        <w:t>rozwiązania sieciowe i systemowe z zakresu IT</w:t>
      </w:r>
      <w:r w:rsidRPr="00BD397A">
        <w:rPr>
          <w:rFonts w:ascii="Calibri" w:hAnsi="Calibri" w:cs="Calibri"/>
          <w:sz w:val="20"/>
          <w:szCs w:val="20"/>
        </w:rPr>
        <w:t xml:space="preserve"> oraz </w:t>
      </w:r>
      <w:r w:rsidRPr="00BD397A">
        <w:rPr>
          <w:rFonts w:ascii="Calibri" w:hAnsi="Calibri" w:cs="Calibri"/>
          <w:b/>
          <w:sz w:val="20"/>
          <w:szCs w:val="20"/>
        </w:rPr>
        <w:t>rozwiązania dla handlu i usług</w:t>
      </w:r>
      <w:r w:rsidRPr="00BD397A">
        <w:rPr>
          <w:rFonts w:ascii="Calibri" w:hAnsi="Calibri" w:cs="Calibri"/>
          <w:sz w:val="20"/>
          <w:szCs w:val="20"/>
        </w:rPr>
        <w:t xml:space="preserve">. COMP </w:t>
      </w:r>
      <w:r w:rsidR="00974988">
        <w:rPr>
          <w:rFonts w:ascii="Calibri" w:hAnsi="Calibri" w:cs="Calibri"/>
          <w:sz w:val="20"/>
          <w:szCs w:val="20"/>
        </w:rPr>
        <w:t>o</w:t>
      </w:r>
      <w:r w:rsidRPr="00BD397A">
        <w:rPr>
          <w:rFonts w:ascii="Calibri" w:hAnsi="Calibri" w:cs="Calibri"/>
          <w:sz w:val="20"/>
          <w:szCs w:val="20"/>
        </w:rPr>
        <w:t xml:space="preserve">d kilku lat rozwija platformę dla właścicieli sklepów detalicznych </w:t>
      </w:r>
      <w:r w:rsidRPr="00BD397A">
        <w:rPr>
          <w:rFonts w:ascii="Calibri" w:hAnsi="Calibri" w:cs="Calibri"/>
          <w:b/>
          <w:sz w:val="20"/>
          <w:szCs w:val="20"/>
        </w:rPr>
        <w:t>M/platform</w:t>
      </w:r>
      <w:r w:rsidRPr="00BD397A">
        <w:rPr>
          <w:rFonts w:ascii="Calibri" w:hAnsi="Calibri" w:cs="Calibri"/>
          <w:sz w:val="20"/>
          <w:szCs w:val="20"/>
        </w:rPr>
        <w:t xml:space="preserve">, czyli </w:t>
      </w:r>
      <w:r w:rsidR="00974988">
        <w:rPr>
          <w:rFonts w:ascii="Calibri" w:hAnsi="Calibri" w:cs="Calibri"/>
          <w:sz w:val="20"/>
          <w:szCs w:val="20"/>
        </w:rPr>
        <w:t>usługę scentralizowanych promocji, będącą uzupełnieniem dla</w:t>
      </w:r>
      <w:r w:rsidRPr="00BD397A">
        <w:rPr>
          <w:rFonts w:ascii="Calibri" w:hAnsi="Calibri" w:cs="Calibri"/>
          <w:sz w:val="20"/>
          <w:szCs w:val="20"/>
        </w:rPr>
        <w:t xml:space="preserve"> urządzeń fiskalnych. Od 2005 r</w:t>
      </w:r>
      <w:r w:rsidR="004B2A0E">
        <w:rPr>
          <w:rFonts w:ascii="Calibri" w:hAnsi="Calibri" w:cs="Calibri"/>
          <w:sz w:val="20"/>
          <w:szCs w:val="20"/>
        </w:rPr>
        <w:t xml:space="preserve">oku </w:t>
      </w:r>
      <w:r w:rsidRPr="00BD397A">
        <w:rPr>
          <w:rFonts w:ascii="Calibri" w:hAnsi="Calibri" w:cs="Calibri"/>
          <w:sz w:val="20"/>
          <w:szCs w:val="20"/>
        </w:rPr>
        <w:t xml:space="preserve">COMP S.A. jest </w:t>
      </w:r>
      <w:r w:rsidRPr="00BD397A">
        <w:rPr>
          <w:rFonts w:ascii="Calibri" w:hAnsi="Calibri" w:cs="Calibri"/>
          <w:b/>
          <w:sz w:val="20"/>
          <w:szCs w:val="20"/>
        </w:rPr>
        <w:t>spółką notowaną na Giełdzie Papierów Wartościowych</w:t>
      </w:r>
      <w:r w:rsidRPr="00BD397A">
        <w:rPr>
          <w:rFonts w:ascii="Calibri" w:hAnsi="Calibri" w:cs="Calibri"/>
          <w:sz w:val="20"/>
          <w:szCs w:val="20"/>
        </w:rPr>
        <w:t xml:space="preserve"> w Warszawie. </w:t>
      </w:r>
    </w:p>
    <w:p w14:paraId="7456F0DB" w14:textId="77777777" w:rsidR="004B2A0E" w:rsidRDefault="004B2A0E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1233D2C7" w14:textId="0953F126" w:rsidR="00BD397A" w:rsidRPr="00BD397A" w:rsidRDefault="00BD397A" w:rsidP="00A106B0">
      <w:pPr>
        <w:spacing w:before="100" w:beforeAutospacing="1" w:after="100" w:afterAutospacing="1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BD397A">
        <w:rPr>
          <w:rFonts w:ascii="Calibri" w:hAnsi="Calibri" w:cs="Calibri"/>
          <w:sz w:val="20"/>
          <w:szCs w:val="20"/>
        </w:rPr>
        <w:t>Firma koncentruje się na działalności  w atrakcyjnych niszach rynkowych, bazując na unikalnych kompetencjach oraz wysokich barierach wejścia do każdej z nich. Synergia kompetencji wszystkich spółek, wszechstronne i wieloletnie doświadczenia, własne centra R&amp;D oraz innowacji, dają możliwość świadczenia usług najwyższej jakości.</w:t>
      </w:r>
    </w:p>
    <w:p w14:paraId="7AF84CDB" w14:textId="77777777" w:rsidR="00D50B8C" w:rsidRPr="00B83589" w:rsidRDefault="00D50B8C" w:rsidP="00A106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color w:val="000000"/>
          <w:sz w:val="20"/>
          <w:szCs w:val="20"/>
        </w:rPr>
      </w:pPr>
    </w:p>
    <w:p w14:paraId="3C68FC84" w14:textId="1C6F756B" w:rsidR="003F7B03" w:rsidRPr="00B83589" w:rsidRDefault="003F7B03" w:rsidP="00A106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B83589">
        <w:rPr>
          <w:rFonts w:cstheme="minorHAnsi"/>
          <w:b/>
          <w:color w:val="000000"/>
          <w:sz w:val="20"/>
          <w:szCs w:val="20"/>
        </w:rPr>
        <w:t>Więcej informacji:</w:t>
      </w:r>
    </w:p>
    <w:p w14:paraId="22AC172A" w14:textId="210AF62B" w:rsidR="003F7B03" w:rsidRDefault="00000000" w:rsidP="00A106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hyperlink r:id="rId6" w:history="1">
        <w:r w:rsidR="00BD397A" w:rsidRPr="00DB3D60">
          <w:rPr>
            <w:rStyle w:val="Hipercze"/>
            <w:rFonts w:cstheme="minorHAnsi"/>
            <w:sz w:val="20"/>
            <w:szCs w:val="20"/>
          </w:rPr>
          <w:t>https://www.comp.com.pl/</w:t>
        </w:r>
      </w:hyperlink>
    </w:p>
    <w:p w14:paraId="6B101401" w14:textId="42C9EA75" w:rsidR="00BD397A" w:rsidRDefault="00000000" w:rsidP="00A106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hyperlink r:id="rId7" w:history="1">
        <w:r w:rsidR="00FE4A68" w:rsidRPr="00766BB9">
          <w:rPr>
            <w:rStyle w:val="Hipercze"/>
            <w:rFonts w:cstheme="minorHAnsi"/>
            <w:sz w:val="20"/>
            <w:szCs w:val="20"/>
          </w:rPr>
          <w:t>https://drs.comp.com.pl/</w:t>
        </w:r>
      </w:hyperlink>
      <w:r w:rsidR="00FE4A68">
        <w:rPr>
          <w:rFonts w:cstheme="minorHAnsi"/>
          <w:color w:val="000000"/>
          <w:sz w:val="20"/>
          <w:szCs w:val="20"/>
        </w:rPr>
        <w:t xml:space="preserve"> </w:t>
      </w:r>
    </w:p>
    <w:p w14:paraId="4E50651C" w14:textId="77777777" w:rsidR="00BD397A" w:rsidRPr="00B83589" w:rsidRDefault="00BD397A" w:rsidP="00A106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</w:p>
    <w:p w14:paraId="3F017D7A" w14:textId="77777777" w:rsidR="003F7B03" w:rsidRPr="00B83589" w:rsidRDefault="003F7B03" w:rsidP="00A106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b/>
          <w:color w:val="000000"/>
          <w:sz w:val="20"/>
          <w:szCs w:val="20"/>
        </w:rPr>
        <w:t>Kontakt dla mediów:</w:t>
      </w:r>
    </w:p>
    <w:p w14:paraId="37377548" w14:textId="77777777" w:rsidR="003F7B03" w:rsidRPr="00B83589" w:rsidRDefault="003F7B03" w:rsidP="00A106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>Bartosz Sosnówka</w:t>
      </w:r>
    </w:p>
    <w:p w14:paraId="659B1B54" w14:textId="77777777" w:rsidR="003F7B03" w:rsidRPr="00B83589" w:rsidRDefault="003F7B03" w:rsidP="00A106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color w:val="000000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 xml:space="preserve">E: </w:t>
      </w:r>
      <w:hyperlink r:id="rId8">
        <w:r w:rsidRPr="00B83589">
          <w:rPr>
            <w:rFonts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92636DF" w14:textId="0C5625EA" w:rsidR="003F7B03" w:rsidRPr="00B83589" w:rsidRDefault="003F7B03" w:rsidP="00A106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hanging="2"/>
        <w:contextualSpacing/>
        <w:jc w:val="both"/>
        <w:rPr>
          <w:rFonts w:cstheme="minorHAnsi"/>
          <w:sz w:val="20"/>
          <w:szCs w:val="20"/>
        </w:rPr>
      </w:pPr>
      <w:r w:rsidRPr="00B83589">
        <w:rPr>
          <w:rFonts w:cstheme="minorHAnsi"/>
          <w:color w:val="000000"/>
          <w:sz w:val="20"/>
          <w:szCs w:val="20"/>
        </w:rPr>
        <w:t>M: 517 476 361</w:t>
      </w:r>
    </w:p>
    <w:sectPr w:rsidR="003F7B03" w:rsidRPr="00B835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88898" w14:textId="77777777" w:rsidR="0077682F" w:rsidRDefault="0077682F" w:rsidP="00D12A1C">
      <w:pPr>
        <w:spacing w:after="0" w:line="240" w:lineRule="auto"/>
      </w:pPr>
      <w:r>
        <w:separator/>
      </w:r>
    </w:p>
  </w:endnote>
  <w:endnote w:type="continuationSeparator" w:id="0">
    <w:p w14:paraId="0758B070" w14:textId="77777777" w:rsidR="0077682F" w:rsidRDefault="0077682F" w:rsidP="00D1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120FA" w14:textId="77777777" w:rsidR="0077682F" w:rsidRDefault="0077682F" w:rsidP="00D12A1C">
      <w:pPr>
        <w:spacing w:after="0" w:line="240" w:lineRule="auto"/>
      </w:pPr>
      <w:r>
        <w:separator/>
      </w:r>
    </w:p>
  </w:footnote>
  <w:footnote w:type="continuationSeparator" w:id="0">
    <w:p w14:paraId="18339B6C" w14:textId="77777777" w:rsidR="0077682F" w:rsidRDefault="0077682F" w:rsidP="00D1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7E663" w14:textId="773A4DEC" w:rsidR="00D12A1C" w:rsidRDefault="00344F0F" w:rsidP="00D12A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CC4003" wp14:editId="2DE7F31D">
          <wp:extent cx="2446020" cy="82909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408" cy="84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1C"/>
    <w:rsid w:val="00017BA5"/>
    <w:rsid w:val="000A7CE4"/>
    <w:rsid w:val="001204EB"/>
    <w:rsid w:val="00142692"/>
    <w:rsid w:val="001D66E2"/>
    <w:rsid w:val="00246AC1"/>
    <w:rsid w:val="00250D6C"/>
    <w:rsid w:val="00344F0F"/>
    <w:rsid w:val="00360DA6"/>
    <w:rsid w:val="003A0981"/>
    <w:rsid w:val="003F7B03"/>
    <w:rsid w:val="00423B20"/>
    <w:rsid w:val="00495FA4"/>
    <w:rsid w:val="004A6DEC"/>
    <w:rsid w:val="004B2A0E"/>
    <w:rsid w:val="004F6CD8"/>
    <w:rsid w:val="00582292"/>
    <w:rsid w:val="00595790"/>
    <w:rsid w:val="005C1153"/>
    <w:rsid w:val="00667E8C"/>
    <w:rsid w:val="006D730B"/>
    <w:rsid w:val="006F6C48"/>
    <w:rsid w:val="00727F2F"/>
    <w:rsid w:val="0074760B"/>
    <w:rsid w:val="00764ADA"/>
    <w:rsid w:val="007705A9"/>
    <w:rsid w:val="0077682F"/>
    <w:rsid w:val="008604C3"/>
    <w:rsid w:val="00890D25"/>
    <w:rsid w:val="008C78E5"/>
    <w:rsid w:val="009036C3"/>
    <w:rsid w:val="00907BDC"/>
    <w:rsid w:val="009460BB"/>
    <w:rsid w:val="00974988"/>
    <w:rsid w:val="00A01369"/>
    <w:rsid w:val="00A106B0"/>
    <w:rsid w:val="00A20234"/>
    <w:rsid w:val="00A42BCB"/>
    <w:rsid w:val="00A6665B"/>
    <w:rsid w:val="00A678F8"/>
    <w:rsid w:val="00AB7824"/>
    <w:rsid w:val="00AF4E55"/>
    <w:rsid w:val="00B23207"/>
    <w:rsid w:val="00B27930"/>
    <w:rsid w:val="00B3378E"/>
    <w:rsid w:val="00B83589"/>
    <w:rsid w:val="00B83F88"/>
    <w:rsid w:val="00B97566"/>
    <w:rsid w:val="00BD397A"/>
    <w:rsid w:val="00C058CB"/>
    <w:rsid w:val="00C80ACD"/>
    <w:rsid w:val="00CC2CC4"/>
    <w:rsid w:val="00CF5FF0"/>
    <w:rsid w:val="00D12A1C"/>
    <w:rsid w:val="00D27A5D"/>
    <w:rsid w:val="00D50B8C"/>
    <w:rsid w:val="00D933C8"/>
    <w:rsid w:val="00DB56A0"/>
    <w:rsid w:val="00EB13DF"/>
    <w:rsid w:val="00F10955"/>
    <w:rsid w:val="00F11681"/>
    <w:rsid w:val="00F12818"/>
    <w:rsid w:val="00F61ABB"/>
    <w:rsid w:val="00FE4A68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06BA1"/>
  <w15:chartTrackingRefBased/>
  <w15:docId w15:val="{AB63C65D-2508-42EC-A680-ABFBF3C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A1C"/>
  </w:style>
  <w:style w:type="paragraph" w:styleId="Stopka">
    <w:name w:val="footer"/>
    <w:basedOn w:val="Normalny"/>
    <w:link w:val="StopkaZnak"/>
    <w:uiPriority w:val="99"/>
    <w:unhideWhenUsed/>
    <w:rsid w:val="00D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A1C"/>
  </w:style>
  <w:style w:type="character" w:styleId="Hipercze">
    <w:name w:val="Hyperlink"/>
    <w:uiPriority w:val="99"/>
    <w:unhideWhenUsed/>
    <w:rsid w:val="003F7B0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B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27A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7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7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B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s.comp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.com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dc:description/>
  <cp:lastModifiedBy>Bart Sosnek</cp:lastModifiedBy>
  <cp:revision>11</cp:revision>
  <dcterms:created xsi:type="dcterms:W3CDTF">2024-03-28T11:12:00Z</dcterms:created>
  <dcterms:modified xsi:type="dcterms:W3CDTF">2024-04-25T14:29:00Z</dcterms:modified>
</cp:coreProperties>
</file>